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A483" w14:textId="3E47A5AB" w:rsidR="00D04EC4" w:rsidRDefault="00D04EC4" w:rsidP="00D04EC4">
      <w:pPr>
        <w:jc w:val="center"/>
        <w:rPr>
          <w:b/>
          <w:i/>
          <w:sz w:val="28"/>
          <w:szCs w:val="28"/>
          <w:u w:val="single"/>
        </w:rPr>
      </w:pPr>
      <w:r>
        <w:rPr>
          <w:b/>
          <w:i/>
          <w:sz w:val="28"/>
          <w:szCs w:val="28"/>
          <w:u w:val="single"/>
        </w:rPr>
        <w:t>Guthrie Township – 2025 Annual Meeting Agenda</w:t>
      </w:r>
    </w:p>
    <w:p w14:paraId="104518F3" w14:textId="77777777" w:rsidR="00D04EC4" w:rsidRDefault="00D04EC4" w:rsidP="00D04EC4">
      <w:pPr>
        <w:rPr>
          <w:b/>
        </w:rPr>
      </w:pPr>
    </w:p>
    <w:p w14:paraId="45DAD035" w14:textId="11535226" w:rsidR="00D04EC4" w:rsidRDefault="00D04EC4" w:rsidP="00D04EC4">
      <w:pPr>
        <w:jc w:val="center"/>
      </w:pPr>
      <w:r>
        <w:t>March 11</w:t>
      </w:r>
      <w:r>
        <w:rPr>
          <w:vertAlign w:val="superscript"/>
        </w:rPr>
        <w:t>th</w:t>
      </w:r>
      <w:r>
        <w:t xml:space="preserve"> / 7:00 P.M. / Guthrie Town Hall</w:t>
      </w:r>
    </w:p>
    <w:p w14:paraId="7672685A" w14:textId="77777777" w:rsidR="00D04EC4" w:rsidRDefault="00D04EC4" w:rsidP="00D04EC4">
      <w:pPr>
        <w:jc w:val="center"/>
        <w:rPr>
          <w:b/>
        </w:rPr>
      </w:pPr>
      <w:smartTag w:uri="urn:schemas-microsoft-com:office:smarttags" w:element="address">
        <w:smartTag w:uri="urn:schemas-microsoft-com:office:smarttags" w:element="Street">
          <w:r>
            <w:t>44255 Rail Road</w:t>
          </w:r>
        </w:smartTag>
        <w:r>
          <w:rPr>
            <w:b/>
          </w:rPr>
          <w:t xml:space="preserve">   </w:t>
        </w:r>
        <w:smartTag w:uri="urn:schemas-microsoft-com:office:smarttags" w:element="City">
          <w:r>
            <w:t>Guthrie</w:t>
          </w:r>
        </w:smartTag>
        <w:r>
          <w:t xml:space="preserve"> </w:t>
        </w:r>
        <w:smartTag w:uri="urn:schemas-microsoft-com:office:smarttags" w:element="State">
          <w:r>
            <w:t>Minnesota</w:t>
          </w:r>
        </w:smartTag>
        <w:r>
          <w:t xml:space="preserve"> </w:t>
        </w:r>
        <w:smartTag w:uri="urn:schemas-microsoft-com:office:smarttags" w:element="PostalCode">
          <w:r>
            <w:t>56461</w:t>
          </w:r>
        </w:smartTag>
      </w:smartTag>
    </w:p>
    <w:p w14:paraId="1E1A4281" w14:textId="77777777" w:rsidR="00D04EC4" w:rsidRDefault="00D04EC4" w:rsidP="00D04EC4">
      <w:pPr>
        <w:jc w:val="center"/>
      </w:pPr>
      <w:r>
        <w:t xml:space="preserve">Amanda Fallgren, Clerk / 218-556-1790 / </w:t>
      </w:r>
      <w:hyperlink r:id="rId5" w:history="1">
        <w:r>
          <w:rPr>
            <w:rStyle w:val="Hyperlink"/>
            <w:rFonts w:eastAsiaTheme="majorEastAsia"/>
          </w:rPr>
          <w:t>http://www.township.guthrie.mn.us</w:t>
        </w:r>
      </w:hyperlink>
    </w:p>
    <w:p w14:paraId="70760170" w14:textId="77777777" w:rsidR="00D04EC4" w:rsidRDefault="00D04EC4" w:rsidP="00D04EC4"/>
    <w:p w14:paraId="7A2216D3" w14:textId="77777777" w:rsidR="00D04EC4" w:rsidRDefault="00D04EC4" w:rsidP="00D04EC4">
      <w:pPr>
        <w:numPr>
          <w:ilvl w:val="0"/>
          <w:numId w:val="1"/>
        </w:numPr>
        <w:contextualSpacing/>
        <w:rPr>
          <w:sz w:val="28"/>
          <w:szCs w:val="28"/>
        </w:rPr>
      </w:pPr>
      <w:r>
        <w:rPr>
          <w:sz w:val="28"/>
          <w:szCs w:val="28"/>
        </w:rPr>
        <w:t xml:space="preserve">   Township Clerk to call meeting to order with Pledge of Allegiance.</w:t>
      </w:r>
    </w:p>
    <w:p w14:paraId="08D2A7A6" w14:textId="77777777" w:rsidR="00D04EC4" w:rsidRDefault="00D04EC4" w:rsidP="00D04EC4">
      <w:pPr>
        <w:numPr>
          <w:ilvl w:val="0"/>
          <w:numId w:val="1"/>
        </w:numPr>
        <w:contextualSpacing/>
        <w:rPr>
          <w:sz w:val="28"/>
          <w:szCs w:val="28"/>
        </w:rPr>
      </w:pPr>
      <w:r>
        <w:rPr>
          <w:sz w:val="28"/>
          <w:szCs w:val="28"/>
        </w:rPr>
        <w:t xml:space="preserve">   The Clerk will welcome everyone to their annual meeting and introduced the officials of the town.</w:t>
      </w:r>
    </w:p>
    <w:p w14:paraId="14763CAF" w14:textId="77777777" w:rsidR="00D04EC4" w:rsidRDefault="00D04EC4" w:rsidP="00D04EC4">
      <w:pPr>
        <w:numPr>
          <w:ilvl w:val="0"/>
          <w:numId w:val="1"/>
        </w:numPr>
        <w:contextualSpacing/>
        <w:rPr>
          <w:sz w:val="28"/>
          <w:szCs w:val="28"/>
        </w:rPr>
      </w:pPr>
      <w:r>
        <w:rPr>
          <w:sz w:val="28"/>
          <w:szCs w:val="28"/>
        </w:rPr>
        <w:t xml:space="preserve">   The Clerk instructs the people to “elect a moderator” who acts as the chair and is responsible for this meeting’s parliamentary procedures.  The Clerk will take the Minutes.</w:t>
      </w:r>
    </w:p>
    <w:p w14:paraId="1702D3F4" w14:textId="77777777" w:rsidR="00D04EC4" w:rsidRDefault="00D04EC4" w:rsidP="00D04EC4">
      <w:pPr>
        <w:numPr>
          <w:ilvl w:val="0"/>
          <w:numId w:val="1"/>
        </w:numPr>
        <w:contextualSpacing/>
        <w:rPr>
          <w:sz w:val="28"/>
          <w:szCs w:val="28"/>
        </w:rPr>
      </w:pPr>
      <w:r>
        <w:rPr>
          <w:sz w:val="28"/>
          <w:szCs w:val="28"/>
        </w:rPr>
        <w:t xml:space="preserve">   Moderator to announce the agenda for this meeting (subject to modification by vote).</w:t>
      </w:r>
    </w:p>
    <w:p w14:paraId="6289EAF7" w14:textId="77777777" w:rsidR="00D04EC4" w:rsidRDefault="00D04EC4" w:rsidP="00D04EC4">
      <w:pPr>
        <w:numPr>
          <w:ilvl w:val="0"/>
          <w:numId w:val="1"/>
        </w:numPr>
        <w:contextualSpacing/>
        <w:rPr>
          <w:sz w:val="28"/>
          <w:szCs w:val="28"/>
        </w:rPr>
      </w:pPr>
      <w:r>
        <w:rPr>
          <w:sz w:val="28"/>
          <w:szCs w:val="28"/>
        </w:rPr>
        <w:t xml:space="preserve">   Reading of “Board of Audit Report” that was approved at the BOA meeting – Treasurer</w:t>
      </w:r>
    </w:p>
    <w:p w14:paraId="6007EFD4" w14:textId="2B990C4D" w:rsidR="00D04EC4" w:rsidRDefault="00D04EC4" w:rsidP="00D04EC4">
      <w:pPr>
        <w:numPr>
          <w:ilvl w:val="0"/>
          <w:numId w:val="1"/>
        </w:numPr>
        <w:contextualSpacing/>
        <w:rPr>
          <w:sz w:val="28"/>
          <w:szCs w:val="28"/>
        </w:rPr>
      </w:pPr>
      <w:r>
        <w:rPr>
          <w:sz w:val="28"/>
          <w:szCs w:val="28"/>
        </w:rPr>
        <w:t xml:space="preserve">   Reading of 2024 annual meeting minutes by the Clerk.</w:t>
      </w:r>
    </w:p>
    <w:p w14:paraId="2B8879A6" w14:textId="77777777" w:rsidR="00D04EC4" w:rsidRDefault="00D04EC4" w:rsidP="00D04EC4">
      <w:pPr>
        <w:numPr>
          <w:ilvl w:val="0"/>
          <w:numId w:val="1"/>
        </w:numPr>
        <w:contextualSpacing/>
        <w:rPr>
          <w:sz w:val="28"/>
          <w:szCs w:val="28"/>
        </w:rPr>
      </w:pPr>
      <w:r>
        <w:rPr>
          <w:sz w:val="28"/>
          <w:szCs w:val="28"/>
        </w:rPr>
        <w:t xml:space="preserve">   Road report. – Mike Schmidt.  Followed by any Discussion or Motions</w:t>
      </w:r>
    </w:p>
    <w:p w14:paraId="2DAFA2C8" w14:textId="695017DD" w:rsidR="00D04EC4" w:rsidRDefault="00D04EC4" w:rsidP="00D04EC4">
      <w:pPr>
        <w:numPr>
          <w:ilvl w:val="0"/>
          <w:numId w:val="1"/>
        </w:numPr>
        <w:contextualSpacing/>
        <w:rPr>
          <w:sz w:val="28"/>
          <w:szCs w:val="28"/>
        </w:rPr>
      </w:pPr>
      <w:r>
        <w:rPr>
          <w:sz w:val="28"/>
          <w:szCs w:val="28"/>
        </w:rPr>
        <w:t xml:space="preserve">   </w:t>
      </w:r>
      <w:r w:rsidR="0096373D">
        <w:rPr>
          <w:sz w:val="28"/>
          <w:szCs w:val="28"/>
        </w:rPr>
        <w:t>Set maximum dollar amount for Donation Requests</w:t>
      </w:r>
    </w:p>
    <w:p w14:paraId="4604A574" w14:textId="401A0E25" w:rsidR="00D04EC4" w:rsidRDefault="00D04EC4" w:rsidP="00D04EC4">
      <w:pPr>
        <w:numPr>
          <w:ilvl w:val="0"/>
          <w:numId w:val="1"/>
        </w:numPr>
        <w:contextualSpacing/>
        <w:rPr>
          <w:sz w:val="28"/>
          <w:szCs w:val="28"/>
        </w:rPr>
      </w:pPr>
      <w:r>
        <w:rPr>
          <w:sz w:val="28"/>
          <w:szCs w:val="28"/>
        </w:rPr>
        <w:t xml:space="preserve">   </w:t>
      </w:r>
      <w:r w:rsidR="0096373D">
        <w:rPr>
          <w:sz w:val="28"/>
          <w:szCs w:val="28"/>
        </w:rPr>
        <w:t>Review Donation Requests</w:t>
      </w:r>
    </w:p>
    <w:p w14:paraId="3B4C21F7" w14:textId="77777777" w:rsidR="00D04EC4" w:rsidRDefault="00D04EC4" w:rsidP="00D04EC4">
      <w:pPr>
        <w:numPr>
          <w:ilvl w:val="0"/>
          <w:numId w:val="1"/>
        </w:numPr>
        <w:contextualSpacing/>
        <w:rPr>
          <w:sz w:val="28"/>
          <w:szCs w:val="28"/>
        </w:rPr>
      </w:pPr>
      <w:r>
        <w:rPr>
          <w:sz w:val="28"/>
          <w:szCs w:val="28"/>
        </w:rPr>
        <w:t xml:space="preserve">   Motion to approve </w:t>
      </w:r>
      <w:proofErr w:type="spellStart"/>
      <w:proofErr w:type="gramStart"/>
      <w:r>
        <w:rPr>
          <w:sz w:val="28"/>
          <w:szCs w:val="28"/>
        </w:rPr>
        <w:t>levy’s</w:t>
      </w:r>
      <w:proofErr w:type="spellEnd"/>
      <w:proofErr w:type="gramEnd"/>
      <w:r>
        <w:rPr>
          <w:sz w:val="28"/>
          <w:szCs w:val="28"/>
        </w:rPr>
        <w:t xml:space="preserve"> of Township.</w:t>
      </w:r>
    </w:p>
    <w:p w14:paraId="72BFDDDD" w14:textId="77777777" w:rsidR="00D04EC4" w:rsidRDefault="00D04EC4" w:rsidP="00D04EC4">
      <w:pPr>
        <w:numPr>
          <w:ilvl w:val="1"/>
          <w:numId w:val="1"/>
        </w:numPr>
        <w:contextualSpacing/>
        <w:rPr>
          <w:sz w:val="28"/>
          <w:szCs w:val="28"/>
        </w:rPr>
      </w:pPr>
      <w:r>
        <w:rPr>
          <w:sz w:val="28"/>
          <w:szCs w:val="28"/>
        </w:rPr>
        <w:t>General Revenue Levy</w:t>
      </w:r>
    </w:p>
    <w:p w14:paraId="45AF5F05" w14:textId="77777777" w:rsidR="00D04EC4" w:rsidRDefault="00D04EC4" w:rsidP="00D04EC4">
      <w:pPr>
        <w:numPr>
          <w:ilvl w:val="1"/>
          <w:numId w:val="1"/>
        </w:numPr>
        <w:contextualSpacing/>
        <w:rPr>
          <w:sz w:val="28"/>
          <w:szCs w:val="28"/>
        </w:rPr>
      </w:pPr>
      <w:r>
        <w:rPr>
          <w:sz w:val="28"/>
          <w:szCs w:val="28"/>
        </w:rPr>
        <w:t xml:space="preserve">Road and Bridge Levy </w:t>
      </w:r>
    </w:p>
    <w:p w14:paraId="73DD26D8" w14:textId="77777777" w:rsidR="00D04EC4" w:rsidRDefault="00D04EC4" w:rsidP="00D04EC4">
      <w:pPr>
        <w:numPr>
          <w:ilvl w:val="1"/>
          <w:numId w:val="1"/>
        </w:numPr>
        <w:contextualSpacing/>
        <w:rPr>
          <w:sz w:val="28"/>
          <w:szCs w:val="28"/>
        </w:rPr>
      </w:pPr>
      <w:r>
        <w:rPr>
          <w:sz w:val="28"/>
          <w:szCs w:val="28"/>
        </w:rPr>
        <w:t>Cemetery Fund Levy</w:t>
      </w:r>
    </w:p>
    <w:p w14:paraId="0628191E" w14:textId="77777777" w:rsidR="00D04EC4" w:rsidRDefault="00D04EC4" w:rsidP="00D04EC4">
      <w:pPr>
        <w:numPr>
          <w:ilvl w:val="1"/>
          <w:numId w:val="1"/>
        </w:numPr>
        <w:contextualSpacing/>
        <w:rPr>
          <w:sz w:val="28"/>
          <w:szCs w:val="28"/>
        </w:rPr>
      </w:pPr>
      <w:r>
        <w:rPr>
          <w:sz w:val="28"/>
          <w:szCs w:val="28"/>
        </w:rPr>
        <w:t xml:space="preserve">Fire Fund Levy </w:t>
      </w:r>
    </w:p>
    <w:p w14:paraId="4B58560F" w14:textId="77777777" w:rsidR="00D04EC4" w:rsidRDefault="00D04EC4" w:rsidP="00D04EC4">
      <w:pPr>
        <w:numPr>
          <w:ilvl w:val="1"/>
          <w:numId w:val="1"/>
        </w:numPr>
        <w:contextualSpacing/>
        <w:rPr>
          <w:sz w:val="28"/>
          <w:szCs w:val="28"/>
        </w:rPr>
      </w:pPr>
      <w:r>
        <w:rPr>
          <w:sz w:val="28"/>
          <w:szCs w:val="28"/>
        </w:rPr>
        <w:t xml:space="preserve">Building Fund Levy </w:t>
      </w:r>
    </w:p>
    <w:p w14:paraId="16EA6634" w14:textId="77777777" w:rsidR="00D04EC4" w:rsidRDefault="00D04EC4" w:rsidP="00D04EC4">
      <w:pPr>
        <w:numPr>
          <w:ilvl w:val="0"/>
          <w:numId w:val="1"/>
        </w:numPr>
        <w:contextualSpacing/>
        <w:rPr>
          <w:sz w:val="28"/>
          <w:szCs w:val="28"/>
        </w:rPr>
      </w:pPr>
      <w:r>
        <w:rPr>
          <w:sz w:val="28"/>
          <w:szCs w:val="28"/>
        </w:rPr>
        <w:t xml:space="preserve">   General Discussion /Items of Concern</w:t>
      </w:r>
    </w:p>
    <w:p w14:paraId="395F89D2" w14:textId="77777777" w:rsidR="00D04EC4" w:rsidRPr="00E779FE" w:rsidRDefault="00D04EC4" w:rsidP="00D04EC4">
      <w:pPr>
        <w:pStyle w:val="ListParagraph"/>
        <w:numPr>
          <w:ilvl w:val="1"/>
          <w:numId w:val="1"/>
        </w:numPr>
        <w:rPr>
          <w:sz w:val="28"/>
          <w:szCs w:val="28"/>
        </w:rPr>
      </w:pPr>
      <w:r>
        <w:rPr>
          <w:sz w:val="28"/>
          <w:szCs w:val="28"/>
        </w:rPr>
        <w:t xml:space="preserve">Ivy </w:t>
      </w:r>
      <w:proofErr w:type="spellStart"/>
      <w:r>
        <w:rPr>
          <w:sz w:val="28"/>
          <w:szCs w:val="28"/>
        </w:rPr>
        <w:t>Knoshaug</w:t>
      </w:r>
      <w:proofErr w:type="spellEnd"/>
      <w:r>
        <w:rPr>
          <w:sz w:val="28"/>
          <w:szCs w:val="28"/>
        </w:rPr>
        <w:t xml:space="preserve"> – Ye’ Ol School Grounds Annual Report</w:t>
      </w:r>
    </w:p>
    <w:p w14:paraId="21370838" w14:textId="77777777" w:rsidR="00D04EC4" w:rsidRDefault="00D04EC4" w:rsidP="00D04EC4">
      <w:pPr>
        <w:pStyle w:val="ListParagraph"/>
        <w:numPr>
          <w:ilvl w:val="0"/>
          <w:numId w:val="1"/>
        </w:numPr>
        <w:rPr>
          <w:sz w:val="28"/>
          <w:szCs w:val="28"/>
        </w:rPr>
      </w:pPr>
      <w:r>
        <w:rPr>
          <w:sz w:val="28"/>
          <w:szCs w:val="28"/>
        </w:rPr>
        <w:t xml:space="preserve">   Motion to set time and location for next annual meeting.</w:t>
      </w:r>
    </w:p>
    <w:p w14:paraId="57431865" w14:textId="77777777" w:rsidR="00D04EC4" w:rsidRDefault="00D04EC4" w:rsidP="00D04EC4">
      <w:pPr>
        <w:numPr>
          <w:ilvl w:val="0"/>
          <w:numId w:val="1"/>
        </w:numPr>
        <w:contextualSpacing/>
        <w:rPr>
          <w:sz w:val="28"/>
          <w:szCs w:val="28"/>
        </w:rPr>
      </w:pPr>
      <w:r>
        <w:rPr>
          <w:sz w:val="28"/>
          <w:szCs w:val="28"/>
        </w:rPr>
        <w:t xml:space="preserve">   Motion to adjourn </w:t>
      </w:r>
    </w:p>
    <w:p w14:paraId="440BC28B" w14:textId="77777777" w:rsidR="00D04EC4" w:rsidRDefault="00D04EC4" w:rsidP="00D04EC4"/>
    <w:p w14:paraId="12331EE6" w14:textId="77777777" w:rsidR="00D04EC4" w:rsidRDefault="00D04EC4" w:rsidP="00D04EC4">
      <w:pPr>
        <w:rPr>
          <w:sz w:val="20"/>
          <w:szCs w:val="20"/>
        </w:rPr>
      </w:pPr>
    </w:p>
    <w:p w14:paraId="4E350D35" w14:textId="77777777" w:rsidR="00D04EC4" w:rsidRDefault="00D04EC4" w:rsidP="00D04EC4">
      <w:pPr>
        <w:rPr>
          <w:b/>
          <w:u w:val="single"/>
        </w:rPr>
      </w:pPr>
      <w:r>
        <w:rPr>
          <w:b/>
          <w:u w:val="single"/>
        </w:rPr>
        <w:t>NOTES</w:t>
      </w:r>
    </w:p>
    <w:p w14:paraId="6448982C" w14:textId="77777777" w:rsidR="00D04EC4" w:rsidRDefault="00D04EC4" w:rsidP="00D04EC4"/>
    <w:p w14:paraId="5002BBBB" w14:textId="77777777" w:rsidR="00D04EC4" w:rsidRDefault="00D04EC4" w:rsidP="00D04EC4">
      <w:r>
        <w:rPr>
          <w:sz w:val="20"/>
          <w:szCs w:val="20"/>
        </w:rPr>
        <w:t>Minnesota Statute 365.XX states that most actions taken at the annual meeting simply authorize the board to take subsequent action and are not binding on the board.  Preferences of the residents can be discussed at the annual meeting, but only the board can take official action on these matters.  Further, the electors cannot authorize the town board to do something otherwise prohibited by law, or which the township lacks the authority to do.</w:t>
      </w:r>
    </w:p>
    <w:p w14:paraId="13E8D66B" w14:textId="77777777" w:rsidR="00D04EC4" w:rsidRDefault="00D04EC4" w:rsidP="00D04EC4"/>
    <w:p w14:paraId="709F53DC"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D5152"/>
    <w:multiLevelType w:val="hybridMultilevel"/>
    <w:tmpl w:val="C0785010"/>
    <w:lvl w:ilvl="0" w:tplc="96688D62">
      <w:start w:val="1"/>
      <w:numFmt w:val="decimal"/>
      <w:lvlText w:val="%1."/>
      <w:lvlJc w:val="left"/>
      <w:pPr>
        <w:ind w:left="720" w:hanging="360"/>
      </w:pPr>
    </w:lvl>
    <w:lvl w:ilvl="1" w:tplc="F97E0556">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05741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C4"/>
    <w:rsid w:val="000128B4"/>
    <w:rsid w:val="000D0C27"/>
    <w:rsid w:val="00677CE8"/>
    <w:rsid w:val="00756025"/>
    <w:rsid w:val="007564F6"/>
    <w:rsid w:val="0096373D"/>
    <w:rsid w:val="00986D16"/>
    <w:rsid w:val="00D0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BF0C115"/>
  <w15:chartTrackingRefBased/>
  <w15:docId w15:val="{1ED6EA5E-AAFE-418C-9CD0-E1828AB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C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04E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4E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4E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E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E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E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E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E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E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E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4E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4E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E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E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EC4"/>
    <w:rPr>
      <w:rFonts w:eastAsiaTheme="majorEastAsia" w:cstheme="majorBidi"/>
      <w:color w:val="272727" w:themeColor="text1" w:themeTint="D8"/>
    </w:rPr>
  </w:style>
  <w:style w:type="paragraph" w:styleId="Title">
    <w:name w:val="Title"/>
    <w:basedOn w:val="Normal"/>
    <w:next w:val="Normal"/>
    <w:link w:val="TitleChar"/>
    <w:uiPriority w:val="10"/>
    <w:qFormat/>
    <w:rsid w:val="00D04E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EC4"/>
    <w:pPr>
      <w:spacing w:before="160"/>
      <w:jc w:val="center"/>
    </w:pPr>
    <w:rPr>
      <w:i/>
      <w:iCs/>
      <w:color w:val="404040" w:themeColor="text1" w:themeTint="BF"/>
    </w:rPr>
  </w:style>
  <w:style w:type="character" w:customStyle="1" w:styleId="QuoteChar">
    <w:name w:val="Quote Char"/>
    <w:basedOn w:val="DefaultParagraphFont"/>
    <w:link w:val="Quote"/>
    <w:uiPriority w:val="29"/>
    <w:rsid w:val="00D04EC4"/>
    <w:rPr>
      <w:i/>
      <w:iCs/>
      <w:color w:val="404040" w:themeColor="text1" w:themeTint="BF"/>
    </w:rPr>
  </w:style>
  <w:style w:type="paragraph" w:styleId="ListParagraph">
    <w:name w:val="List Paragraph"/>
    <w:basedOn w:val="Normal"/>
    <w:uiPriority w:val="34"/>
    <w:qFormat/>
    <w:rsid w:val="00D04EC4"/>
    <w:pPr>
      <w:ind w:left="720"/>
      <w:contextualSpacing/>
    </w:pPr>
  </w:style>
  <w:style w:type="character" w:styleId="IntenseEmphasis">
    <w:name w:val="Intense Emphasis"/>
    <w:basedOn w:val="DefaultParagraphFont"/>
    <w:uiPriority w:val="21"/>
    <w:qFormat/>
    <w:rsid w:val="00D04EC4"/>
    <w:rPr>
      <w:i/>
      <w:iCs/>
      <w:color w:val="2F5496" w:themeColor="accent1" w:themeShade="BF"/>
    </w:rPr>
  </w:style>
  <w:style w:type="paragraph" w:styleId="IntenseQuote">
    <w:name w:val="Intense Quote"/>
    <w:basedOn w:val="Normal"/>
    <w:next w:val="Normal"/>
    <w:link w:val="IntenseQuoteChar"/>
    <w:uiPriority w:val="30"/>
    <w:qFormat/>
    <w:rsid w:val="00D04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EC4"/>
    <w:rPr>
      <w:i/>
      <w:iCs/>
      <w:color w:val="2F5496" w:themeColor="accent1" w:themeShade="BF"/>
    </w:rPr>
  </w:style>
  <w:style w:type="character" w:styleId="IntenseReference">
    <w:name w:val="Intense Reference"/>
    <w:basedOn w:val="DefaultParagraphFont"/>
    <w:uiPriority w:val="32"/>
    <w:qFormat/>
    <w:rsid w:val="00D04EC4"/>
    <w:rPr>
      <w:b/>
      <w:bCs/>
      <w:smallCaps/>
      <w:color w:val="2F5496" w:themeColor="accent1" w:themeShade="BF"/>
      <w:spacing w:val="5"/>
    </w:rPr>
  </w:style>
  <w:style w:type="character" w:styleId="Hyperlink">
    <w:name w:val="Hyperlink"/>
    <w:semiHidden/>
    <w:unhideWhenUsed/>
    <w:rsid w:val="00D04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wnship.guthri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cp:revision>
  <dcterms:created xsi:type="dcterms:W3CDTF">2025-02-25T21:22:00Z</dcterms:created>
  <dcterms:modified xsi:type="dcterms:W3CDTF">2025-03-11T19:25:00Z</dcterms:modified>
</cp:coreProperties>
</file>